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0E4D7C" w:rsidRDefault="000E4D7C"/>
    <w:p w:rsidR="000E4D7C" w:rsidRDefault="000E4D7C"/>
    <w:p w:rsidR="00A030B1" w:rsidRDefault="00A030B1"/>
    <w:p w:rsidR="00A030B1" w:rsidRDefault="00E25F69" w:rsidP="00A030B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Investment Securities</w:t>
      </w:r>
    </w:p>
    <w:p w:rsidR="00A030B1" w:rsidRDefault="00E25F69" w:rsidP="00A030B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A030B1" w:rsidRDefault="00E25F69" w:rsidP="00A030B1">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A030B1" w:rsidRDefault="00E25F69" w:rsidP="00A030B1">
      <w:pPr>
        <w:jc w:val="center"/>
      </w:pPr>
      <w:r>
        <w:rPr>
          <w:rFonts w:ascii="Times New Roman" w:hAnsi="Times New Roman" w:cs="Times New Roman"/>
          <w:color w:val="000000" w:themeColor="text1"/>
          <w:sz w:val="24"/>
          <w:szCs w:val="24"/>
        </w:rPr>
        <w:t>Date</w:t>
      </w:r>
    </w:p>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Default="00A030B1"/>
    <w:p w:rsidR="00A030B1" w:rsidRPr="00A030B1" w:rsidRDefault="00E25F69" w:rsidP="00A030B1">
      <w:pPr>
        <w:spacing w:after="0" w:line="480" w:lineRule="auto"/>
        <w:ind w:firstLine="851"/>
        <w:jc w:val="center"/>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lastRenderedPageBreak/>
        <w:t>Investment Securities</w:t>
      </w:r>
    </w:p>
    <w:p w:rsidR="00187F43"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 xml:space="preserve">Investment securities </w:t>
      </w:r>
      <w:r w:rsidR="00DB0650">
        <w:rPr>
          <w:rFonts w:ascii="Times New Roman" w:hAnsi="Times New Roman" w:cs="Times New Roman"/>
          <w:color w:val="000000" w:themeColor="text1"/>
          <w:sz w:val="24"/>
          <w:szCs w:val="24"/>
        </w:rPr>
        <w:t xml:space="preserve">involve </w:t>
      </w:r>
      <w:r w:rsidR="003F62A4">
        <w:rPr>
          <w:rFonts w:ascii="Times New Roman" w:hAnsi="Times New Roman" w:cs="Times New Roman"/>
          <w:color w:val="000000" w:themeColor="text1"/>
          <w:sz w:val="24"/>
          <w:szCs w:val="24"/>
        </w:rPr>
        <w:t>the</w:t>
      </w:r>
      <w:r w:rsidRPr="00A030B1">
        <w:rPr>
          <w:rFonts w:ascii="Times New Roman" w:hAnsi="Times New Roman" w:cs="Times New Roman"/>
          <w:color w:val="000000" w:themeColor="text1"/>
          <w:sz w:val="24"/>
          <w:szCs w:val="24"/>
        </w:rPr>
        <w:t xml:space="preserve"> financial ass</w:t>
      </w:r>
      <w:r w:rsidR="00AC423B" w:rsidRPr="00A030B1">
        <w:rPr>
          <w:rFonts w:ascii="Times New Roman" w:hAnsi="Times New Roman" w:cs="Times New Roman"/>
          <w:color w:val="000000" w:themeColor="text1"/>
          <w:sz w:val="24"/>
          <w:szCs w:val="24"/>
        </w:rPr>
        <w:t>e</w:t>
      </w:r>
      <w:r w:rsidRPr="00A030B1">
        <w:rPr>
          <w:rFonts w:ascii="Times New Roman" w:hAnsi="Times New Roman" w:cs="Times New Roman"/>
          <w:color w:val="000000" w:themeColor="text1"/>
          <w:sz w:val="24"/>
          <w:szCs w:val="24"/>
        </w:rPr>
        <w:t>ts that are bought by a company for investment. These securities are different from other securities purchased by people who aim at reselling them quickly. The investment securities are subjected to governance policies. These items can be accessed in the balance sheets where they are indicated as assets that are at amortized values. Organizations buy securities that are marketable to hold in their portfolios, which are sources of income alongside loans. Investment securities are different from loans in that they are accessed via the broker, while loans are through direct agreement amid lender and borrower</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Brown, 2013)</w:t>
      </w:r>
      <w:r w:rsidRPr="00A030B1">
        <w:rPr>
          <w:rFonts w:ascii="Times New Roman" w:hAnsi="Times New Roman" w:cs="Times New Roman"/>
          <w:color w:val="000000" w:themeColor="text1"/>
          <w:sz w:val="24"/>
          <w:szCs w:val="24"/>
        </w:rPr>
        <w:t xml:space="preserve">. The securities can provide business organizations with the benefit of liquidity and the profits gained from the company's capital. </w:t>
      </w:r>
      <w:r w:rsidR="006A56E6" w:rsidRPr="00A030B1">
        <w:rPr>
          <w:rFonts w:ascii="Times New Roman" w:hAnsi="Times New Roman" w:cs="Times New Roman"/>
          <w:color w:val="000000" w:themeColor="text1"/>
          <w:sz w:val="24"/>
          <w:szCs w:val="24"/>
        </w:rPr>
        <w:t xml:space="preserve">The investment securities help the business organizations to meet the requirement set by the government for the pledges, and they are acknowledged to be collaterals. </w:t>
      </w:r>
      <w:r w:rsidR="00471E6B" w:rsidRPr="00A030B1">
        <w:rPr>
          <w:rFonts w:ascii="Times New Roman" w:hAnsi="Times New Roman" w:cs="Times New Roman"/>
          <w:color w:val="000000" w:themeColor="text1"/>
          <w:sz w:val="24"/>
          <w:szCs w:val="24"/>
        </w:rPr>
        <w:t>FASB ASC 320 provides that organizations have to assign a portfolio of the investment securities to their trading securities. The protection that needs to be evaluated is debt and equity security. Debt security involves instruments that are beyond the legal forms of debt. The equity securit</w:t>
      </w:r>
      <w:r w:rsidR="004C253C">
        <w:rPr>
          <w:rFonts w:ascii="Times New Roman" w:hAnsi="Times New Roman" w:cs="Times New Roman"/>
          <w:color w:val="000000" w:themeColor="text1"/>
          <w:sz w:val="24"/>
          <w:szCs w:val="24"/>
        </w:rPr>
        <w:t>ies are</w:t>
      </w:r>
      <w:r w:rsidR="00471E6B" w:rsidRPr="00A030B1">
        <w:rPr>
          <w:rFonts w:ascii="Times New Roman" w:hAnsi="Times New Roman" w:cs="Times New Roman"/>
          <w:color w:val="000000" w:themeColor="text1"/>
          <w:sz w:val="24"/>
          <w:szCs w:val="24"/>
        </w:rPr>
        <w:t xml:space="preserve"> those that possess the feature of measurable values.</w:t>
      </w:r>
    </w:p>
    <w:p w:rsidR="00471E6B" w:rsidRPr="00A030B1" w:rsidRDefault="00E25F69" w:rsidP="00A030B1">
      <w:pPr>
        <w:spacing w:after="0" w:line="480" w:lineRule="auto"/>
        <w:ind w:firstLine="851"/>
        <w:jc w:val="center"/>
        <w:rPr>
          <w:rFonts w:ascii="Times New Roman" w:hAnsi="Times New Roman" w:cs="Times New Roman"/>
          <w:b/>
          <w:bCs/>
          <w:color w:val="000000" w:themeColor="text1"/>
          <w:sz w:val="24"/>
          <w:szCs w:val="24"/>
        </w:rPr>
      </w:pPr>
      <w:r w:rsidRPr="00A030B1">
        <w:rPr>
          <w:rFonts w:ascii="Times New Roman" w:hAnsi="Times New Roman" w:cs="Times New Roman"/>
          <w:b/>
          <w:bCs/>
          <w:color w:val="000000" w:themeColor="text1"/>
          <w:sz w:val="24"/>
          <w:szCs w:val="24"/>
        </w:rPr>
        <w:t>Categories of Security and Account Treatment</w:t>
      </w:r>
    </w:p>
    <w:p w:rsidR="00471E6B"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 xml:space="preserve">There are three main categories of security investments. One of the securities is equity securities, which involves the ownership of shares and stocks in a business enterprise. The shareholders of a company possess this category. Equity securities are beneficial in the generation of money consistently for the shareholders provided </w:t>
      </w:r>
      <w:r w:rsidR="00DB47F8" w:rsidRPr="00A030B1">
        <w:rPr>
          <w:rFonts w:ascii="Times New Roman" w:hAnsi="Times New Roman" w:cs="Times New Roman"/>
          <w:color w:val="000000" w:themeColor="text1"/>
          <w:sz w:val="24"/>
          <w:szCs w:val="24"/>
        </w:rPr>
        <w:t xml:space="preserve">as </w:t>
      </w:r>
      <w:r w:rsidRPr="00A030B1">
        <w:rPr>
          <w:rFonts w:ascii="Times New Roman" w:hAnsi="Times New Roman" w:cs="Times New Roman"/>
          <w:color w:val="000000" w:themeColor="text1"/>
          <w:sz w:val="24"/>
          <w:szCs w:val="24"/>
        </w:rPr>
        <w:t>dividends</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Plastun et al., 2019)</w:t>
      </w:r>
      <w:r w:rsidRPr="00A030B1">
        <w:rPr>
          <w:rFonts w:ascii="Times New Roman" w:hAnsi="Times New Roman" w:cs="Times New Roman"/>
          <w:color w:val="000000" w:themeColor="text1"/>
          <w:sz w:val="24"/>
          <w:szCs w:val="24"/>
        </w:rPr>
        <w:t xml:space="preserve">. </w:t>
      </w:r>
      <w:r w:rsidR="00DB47F8" w:rsidRPr="00A030B1">
        <w:rPr>
          <w:rFonts w:ascii="Times New Roman" w:hAnsi="Times New Roman" w:cs="Times New Roman"/>
          <w:color w:val="000000" w:themeColor="text1"/>
          <w:sz w:val="24"/>
          <w:szCs w:val="24"/>
        </w:rPr>
        <w:t>The equity security is acknowledged to have a different value depending on the market and the fortune of the company. The cost falls and frequently rises as business operations changes a</w:t>
      </w:r>
      <w:r w:rsidR="00DB0650">
        <w:rPr>
          <w:rFonts w:ascii="Times New Roman" w:hAnsi="Times New Roman" w:cs="Times New Roman"/>
          <w:color w:val="000000" w:themeColor="text1"/>
          <w:sz w:val="24"/>
          <w:szCs w:val="24"/>
        </w:rPr>
        <w:t>nd depends on</w:t>
      </w:r>
      <w:r w:rsidR="00DB47F8" w:rsidRPr="00A030B1">
        <w:rPr>
          <w:rFonts w:ascii="Times New Roman" w:hAnsi="Times New Roman" w:cs="Times New Roman"/>
          <w:color w:val="000000" w:themeColor="text1"/>
          <w:sz w:val="24"/>
          <w:szCs w:val="24"/>
        </w:rPr>
        <w:t xml:space="preserve"> time. The accounting of the equity securities depends on the amount of influence and control it has over the decisions of the company in purchasing </w:t>
      </w:r>
      <w:r w:rsidR="00DB47F8" w:rsidRPr="00A030B1">
        <w:rPr>
          <w:rFonts w:ascii="Times New Roman" w:hAnsi="Times New Roman" w:cs="Times New Roman"/>
          <w:color w:val="000000" w:themeColor="text1"/>
          <w:sz w:val="24"/>
          <w:szCs w:val="24"/>
        </w:rPr>
        <w:lastRenderedPageBreak/>
        <w:t xml:space="preserve">and issuing stocks. When the stock is less than 20%, and the power and authority do not exist, the cost method is for accounting. The presence of 20-50% of the stock enables the investor to influence </w:t>
      </w:r>
      <w:r w:rsidR="00A030B1" w:rsidRPr="00A030B1">
        <w:rPr>
          <w:rFonts w:ascii="Times New Roman" w:hAnsi="Times New Roman" w:cs="Times New Roman"/>
          <w:color w:val="000000" w:themeColor="text1"/>
          <w:sz w:val="24"/>
          <w:szCs w:val="24"/>
        </w:rPr>
        <w:t>it (</w:t>
      </w:r>
      <w:r w:rsidR="00A030B1" w:rsidRPr="00A030B1">
        <w:rPr>
          <w:rFonts w:ascii="Times New Roman" w:hAnsi="Times New Roman" w:cs="Times New Roman"/>
          <w:color w:val="000000" w:themeColor="text1"/>
          <w:sz w:val="24"/>
          <w:szCs w:val="24"/>
          <w:shd w:val="clear" w:color="auto" w:fill="FFFFFF"/>
        </w:rPr>
        <w:t>Bonelli &amp; Bossy, 2017)</w:t>
      </w:r>
      <w:r w:rsidR="00DB47F8" w:rsidRPr="00A030B1">
        <w:rPr>
          <w:rFonts w:ascii="Times New Roman" w:hAnsi="Times New Roman" w:cs="Times New Roman"/>
          <w:color w:val="000000" w:themeColor="text1"/>
          <w:sz w:val="24"/>
          <w:szCs w:val="24"/>
        </w:rPr>
        <w:t xml:space="preserve">. When the investor is not involved in controlling the company's board, the equity method is used in the accounting process. When investors possess more than 50% of the stock, consolidated financial statements are used because of the existence of control and influence in the company. When </w:t>
      </w:r>
      <w:r w:rsidR="00AB1A67" w:rsidRPr="00A030B1">
        <w:rPr>
          <w:rFonts w:ascii="Times New Roman" w:hAnsi="Times New Roman" w:cs="Times New Roman"/>
          <w:color w:val="000000" w:themeColor="text1"/>
          <w:sz w:val="24"/>
          <w:szCs w:val="24"/>
        </w:rPr>
        <w:t>the cost</w:t>
      </w:r>
      <w:r w:rsidR="00DB47F8" w:rsidRPr="00A030B1">
        <w:rPr>
          <w:rFonts w:ascii="Times New Roman" w:hAnsi="Times New Roman" w:cs="Times New Roman"/>
          <w:color w:val="000000" w:themeColor="text1"/>
          <w:sz w:val="24"/>
          <w:szCs w:val="24"/>
        </w:rPr>
        <w:t xml:space="preserve"> method, the </w:t>
      </w:r>
      <w:r w:rsidR="00AB1A67" w:rsidRPr="00A030B1">
        <w:rPr>
          <w:rFonts w:ascii="Times New Roman" w:hAnsi="Times New Roman" w:cs="Times New Roman"/>
          <w:color w:val="000000" w:themeColor="text1"/>
          <w:sz w:val="24"/>
          <w:szCs w:val="24"/>
        </w:rPr>
        <w:t>equity investments are either available-for-sale or trading securities. The investment value is adjusted to fit the market value. When a company owns more than 50%, it is acknowledged to be the parent company when the company that owns less stock is a subsidiary company. The parent company utilized the equity method to ensure that the subsidiary organizations' investment is accounted for.</w:t>
      </w:r>
    </w:p>
    <w:p w:rsidR="00AB1A67"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 xml:space="preserve">A debt security is another category that involves the selling of security and borrowing money. This security is provided by the government, companies, or individuals, and it is sold to other parties at a specific value. The agreement is made on the repayment and interest rates. </w:t>
      </w:r>
      <w:r w:rsidR="00676A53" w:rsidRPr="00A030B1">
        <w:rPr>
          <w:rFonts w:ascii="Times New Roman" w:hAnsi="Times New Roman" w:cs="Times New Roman"/>
          <w:color w:val="000000" w:themeColor="text1"/>
          <w:sz w:val="24"/>
          <w:szCs w:val="24"/>
        </w:rPr>
        <w:t>The category involves the maturity date when the amount has to be paid and the fixed amount that will be paid. Examples of debt securities include treasury notes, banknotes, and bonds. They involve an agreement between two parties for the amount of money borrowed and the amount paid back to the lender with interest</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Plastun et al., 2019)</w:t>
      </w:r>
      <w:r w:rsidR="00676A53" w:rsidRPr="00A030B1">
        <w:rPr>
          <w:rFonts w:ascii="Times New Roman" w:hAnsi="Times New Roman" w:cs="Times New Roman"/>
          <w:color w:val="000000" w:themeColor="text1"/>
          <w:sz w:val="24"/>
          <w:szCs w:val="24"/>
        </w:rPr>
        <w:t>. The treatment of accounts for debt securities involves the cost of acquisition recorded in the asset account. The acquisition accounts include debt investments, and the expenses comprise the price of the bond in the market and other fees such as commissions given to brokers. When the bonds are held to maturity, they are acknowledged as long-term investments; the bonds' amortization is determined by the differences between cost and maturity value. When the bonds are for resale, they are affected by the value of the market, and when the market change</w:t>
      </w:r>
      <w:r w:rsidR="00DB0650">
        <w:rPr>
          <w:rFonts w:ascii="Times New Roman" w:hAnsi="Times New Roman" w:cs="Times New Roman"/>
          <w:color w:val="000000" w:themeColor="text1"/>
          <w:sz w:val="24"/>
          <w:szCs w:val="24"/>
        </w:rPr>
        <w:t>s</w:t>
      </w:r>
      <w:r w:rsidR="00676A53" w:rsidRPr="00A030B1">
        <w:rPr>
          <w:rFonts w:ascii="Times New Roman" w:hAnsi="Times New Roman" w:cs="Times New Roman"/>
          <w:color w:val="000000" w:themeColor="text1"/>
          <w:sz w:val="24"/>
          <w:szCs w:val="24"/>
        </w:rPr>
        <w:t>, they also transform.</w:t>
      </w:r>
    </w:p>
    <w:p w:rsidR="00513D10"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lastRenderedPageBreak/>
        <w:t>A derivative security is based on the characteristics of the assets repaid or purchased in the company. The purchase and repayment of the assets involve maturity date, interest, and price. The selling party of the assets is not obligated to own the assets' rights, making trading more straight forward. The vender can also give the buyer money to buy the asset or offer a derivative that can be used to satisfy the existing debt—the derivatives access value from items such as silver, gold, or other products like gas. The derivatives can also be structured on currencies and interest rates</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Voneiff &amp; Evangelista, 2011)</w:t>
      </w:r>
      <w:r w:rsidRPr="00A030B1">
        <w:rPr>
          <w:rFonts w:ascii="Times New Roman" w:hAnsi="Times New Roman" w:cs="Times New Roman"/>
          <w:color w:val="000000" w:themeColor="text1"/>
          <w:sz w:val="24"/>
          <w:szCs w:val="24"/>
        </w:rPr>
        <w:t xml:space="preserve">. Just as debts securities, the use of stocks, bonds, and treasury notes are significant in derivatives. The guards are traded using hedge funds to prevent the risk of investments. The accounting treatment of derivatives is based on various rules. The record derivatives show the values and the episodic degree of their costs. </w:t>
      </w:r>
      <w:r w:rsidR="0010314A" w:rsidRPr="00A030B1">
        <w:rPr>
          <w:rFonts w:ascii="Times New Roman" w:hAnsi="Times New Roman" w:cs="Times New Roman"/>
          <w:color w:val="000000" w:themeColor="text1"/>
          <w:sz w:val="24"/>
          <w:szCs w:val="24"/>
        </w:rPr>
        <w:t xml:space="preserve">More so, the purpose of the derivatives and effectiveness of the hedging is done. The accounting reports include the loss and profits that are recorded. The FASB ASC 320 provides that the derivative instruments have to be measured at the fair value or compared to market value.  </w:t>
      </w:r>
    </w:p>
    <w:p w:rsidR="0010314A" w:rsidRPr="00A030B1" w:rsidRDefault="00E25F69" w:rsidP="00A030B1">
      <w:pPr>
        <w:spacing w:after="0" w:line="480" w:lineRule="auto"/>
        <w:ind w:firstLine="851"/>
        <w:jc w:val="center"/>
        <w:rPr>
          <w:rFonts w:ascii="Times New Roman" w:hAnsi="Times New Roman" w:cs="Times New Roman"/>
          <w:b/>
          <w:bCs/>
          <w:color w:val="000000" w:themeColor="text1"/>
          <w:sz w:val="24"/>
          <w:szCs w:val="24"/>
        </w:rPr>
      </w:pPr>
      <w:r w:rsidRPr="00A030B1">
        <w:rPr>
          <w:rFonts w:ascii="Times New Roman" w:hAnsi="Times New Roman" w:cs="Times New Roman"/>
          <w:b/>
          <w:bCs/>
          <w:color w:val="000000" w:themeColor="text1"/>
          <w:sz w:val="24"/>
          <w:szCs w:val="24"/>
        </w:rPr>
        <w:t>Assignment of Categories in the Companies</w:t>
      </w:r>
    </w:p>
    <w:p w:rsidR="006A56E6"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The non-current portion of dept involves the part that a company has for a debt, which is not a short-term obligation. The current portion of debt involved the short-term commitment of the bonds. The debt securities are marketable when they are short. Other companies hold them in place of money</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Plastun et al., 2019)</w:t>
      </w:r>
      <w:r w:rsidRPr="00A030B1">
        <w:rPr>
          <w:rFonts w:ascii="Times New Roman" w:hAnsi="Times New Roman" w:cs="Times New Roman"/>
          <w:color w:val="000000" w:themeColor="text1"/>
          <w:sz w:val="24"/>
          <w:szCs w:val="24"/>
        </w:rPr>
        <w:t>. The commercial debts security is acknowledged to be held at the cost of balance in a company. The marketable debts securities are expected to be sold within a year. When it is sold after one year, it is assigned a long-term investment in its balance sheet.</w:t>
      </w:r>
    </w:p>
    <w:p w:rsidR="00E12C0C"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 xml:space="preserve">Also, equity investments are categorized as current and non-current investments. The existing assets are </w:t>
      </w:r>
      <w:r w:rsidR="00085514" w:rsidRPr="00A030B1">
        <w:rPr>
          <w:rFonts w:ascii="Times New Roman" w:hAnsi="Times New Roman" w:cs="Times New Roman"/>
          <w:color w:val="000000" w:themeColor="text1"/>
          <w:sz w:val="24"/>
          <w:szCs w:val="24"/>
        </w:rPr>
        <w:t xml:space="preserve">considered short-term investments because they can be easily converted to cash within a year. They are resources that are needed y business organizations </w:t>
      </w:r>
      <w:r w:rsidR="00085514" w:rsidRPr="00A030B1">
        <w:rPr>
          <w:rFonts w:ascii="Times New Roman" w:hAnsi="Times New Roman" w:cs="Times New Roman"/>
          <w:color w:val="000000" w:themeColor="text1"/>
          <w:sz w:val="24"/>
          <w:szCs w:val="24"/>
        </w:rPr>
        <w:lastRenderedPageBreak/>
        <w:t>to carry out day to day business operations</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Plastun et al., 2019)</w:t>
      </w:r>
      <w:r w:rsidR="00085514" w:rsidRPr="00A030B1">
        <w:rPr>
          <w:rFonts w:ascii="Times New Roman" w:hAnsi="Times New Roman" w:cs="Times New Roman"/>
          <w:color w:val="000000" w:themeColor="text1"/>
          <w:sz w:val="24"/>
          <w:szCs w:val="24"/>
        </w:rPr>
        <w:t>. They are included in the balance sheet at the market or current price. Non-current equity securities are utilized for more than a year. They cannot be easily converted to cash and are needed by companies for long-term business operations, such as heavy machinery and land. They are recorded in the balance sheet based on the purchase value. The value of long-term equity is adjusted regularly because of amortization and depreciation.</w:t>
      </w:r>
    </w:p>
    <w:p w:rsidR="00085514"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 xml:space="preserve">Besides, derivatives securities are also classified as current and non-current investments. The derivatives that are characterized as non-current </w:t>
      </w:r>
      <w:r w:rsidR="00471ED2" w:rsidRPr="00A030B1">
        <w:rPr>
          <w:rFonts w:ascii="Times New Roman" w:hAnsi="Times New Roman" w:cs="Times New Roman"/>
          <w:color w:val="000000" w:themeColor="text1"/>
          <w:sz w:val="24"/>
          <w:szCs w:val="24"/>
        </w:rPr>
        <w:t>are due to extended contracts that will exist for long periods in a company</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Voneiff &amp; Evangelista, 2011)</w:t>
      </w:r>
      <w:r w:rsidR="00471ED2" w:rsidRPr="00A030B1">
        <w:rPr>
          <w:rFonts w:ascii="Times New Roman" w:hAnsi="Times New Roman" w:cs="Times New Roman"/>
          <w:color w:val="000000" w:themeColor="text1"/>
          <w:sz w:val="24"/>
          <w:szCs w:val="24"/>
        </w:rPr>
        <w:t>. The deals that are in existence for more than one year are acknowledged to be long-term. The current derivatives include bonds, treasury notes, and stocks that are not for long term purposes. They are paid within one year.</w:t>
      </w:r>
    </w:p>
    <w:p w:rsidR="00471ED2" w:rsidRPr="00A030B1" w:rsidRDefault="00E25F69" w:rsidP="00A030B1">
      <w:pPr>
        <w:spacing w:after="0" w:line="480" w:lineRule="auto"/>
        <w:ind w:firstLine="851"/>
        <w:jc w:val="center"/>
        <w:rPr>
          <w:rFonts w:ascii="Times New Roman" w:hAnsi="Times New Roman" w:cs="Times New Roman"/>
          <w:b/>
          <w:bCs/>
          <w:color w:val="000000" w:themeColor="text1"/>
          <w:sz w:val="24"/>
          <w:szCs w:val="24"/>
        </w:rPr>
      </w:pPr>
      <w:r w:rsidRPr="00A030B1">
        <w:rPr>
          <w:rFonts w:ascii="Times New Roman" w:hAnsi="Times New Roman" w:cs="Times New Roman"/>
          <w:b/>
          <w:bCs/>
          <w:color w:val="000000" w:themeColor="text1"/>
          <w:sz w:val="24"/>
          <w:szCs w:val="24"/>
        </w:rPr>
        <w:t>Proper Account Treatment</w:t>
      </w:r>
    </w:p>
    <w:p w:rsidR="00471ED2"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 xml:space="preserve">The topic of effective treatment of accounts for marketable securities has been revealed to have </w:t>
      </w:r>
      <w:r w:rsidR="00B80400" w:rsidRPr="00A030B1">
        <w:rPr>
          <w:rFonts w:ascii="Times New Roman" w:hAnsi="Times New Roman" w:cs="Times New Roman"/>
          <w:color w:val="000000" w:themeColor="text1"/>
          <w:sz w:val="24"/>
          <w:szCs w:val="24"/>
        </w:rPr>
        <w:t>varying</w:t>
      </w:r>
      <w:r w:rsidRPr="00A030B1">
        <w:rPr>
          <w:rFonts w:ascii="Times New Roman" w:hAnsi="Times New Roman" w:cs="Times New Roman"/>
          <w:color w:val="000000" w:themeColor="text1"/>
          <w:sz w:val="24"/>
          <w:szCs w:val="24"/>
        </w:rPr>
        <w:t xml:space="preserve"> views from different scholars. Various scholars suggest that the use of the current value is essential. More so, this treatment is acknowledged to ensure that the management of earnings is useful for the companies. </w:t>
      </w:r>
      <w:r w:rsidR="00B80400" w:rsidRPr="00A030B1">
        <w:rPr>
          <w:rFonts w:ascii="Times New Roman" w:hAnsi="Times New Roman" w:cs="Times New Roman"/>
          <w:color w:val="000000" w:themeColor="text1"/>
          <w:sz w:val="24"/>
          <w:szCs w:val="24"/>
        </w:rPr>
        <w:t>The use of present value is significant in measuring the company's short-time investment</w:t>
      </w:r>
      <w:r w:rsidR="00A030B1" w:rsidRPr="00A030B1">
        <w:rPr>
          <w:rFonts w:ascii="Times New Roman" w:hAnsi="Times New Roman" w:cs="Times New Roman"/>
          <w:color w:val="000000" w:themeColor="text1"/>
          <w:sz w:val="24"/>
          <w:szCs w:val="24"/>
        </w:rPr>
        <w:t xml:space="preserve"> (</w:t>
      </w:r>
      <w:r w:rsidR="00A030B1" w:rsidRPr="00A030B1">
        <w:rPr>
          <w:rFonts w:ascii="Times New Roman" w:hAnsi="Times New Roman" w:cs="Times New Roman"/>
          <w:color w:val="000000" w:themeColor="text1"/>
          <w:sz w:val="24"/>
          <w:szCs w:val="24"/>
          <w:shd w:val="clear" w:color="auto" w:fill="FFFFFF"/>
        </w:rPr>
        <w:t>Voneiff &amp; Evangelista, 2011)</w:t>
      </w:r>
      <w:r w:rsidR="00B80400" w:rsidRPr="00A030B1">
        <w:rPr>
          <w:rFonts w:ascii="Times New Roman" w:hAnsi="Times New Roman" w:cs="Times New Roman"/>
          <w:color w:val="000000" w:themeColor="text1"/>
          <w:sz w:val="24"/>
          <w:szCs w:val="24"/>
        </w:rPr>
        <w:t xml:space="preserve">. The current value ensures that there is consistent monitoring of the accounts. Conversion of the goods to cash and vice versa ensures that the management of the company realizes the value of the company and its performance. Determining the company's liabilities and assets determines the company's ability to pay the due debts. The company can use the current value to ensure that the operation of the company is monitored. </w:t>
      </w:r>
      <w:r w:rsidR="00AC423B" w:rsidRPr="00A030B1">
        <w:rPr>
          <w:rFonts w:ascii="Times New Roman" w:hAnsi="Times New Roman" w:cs="Times New Roman"/>
          <w:color w:val="000000" w:themeColor="text1"/>
          <w:sz w:val="24"/>
          <w:szCs w:val="24"/>
        </w:rPr>
        <w:t xml:space="preserve">The management of earnings involves the utilization of accounting strategies to develop a financial report which describes the performance of a company. The revenue generated by a company is presented in profit and </w:t>
      </w:r>
      <w:r w:rsidR="00AC423B" w:rsidRPr="00A030B1">
        <w:rPr>
          <w:rFonts w:ascii="Times New Roman" w:hAnsi="Times New Roman" w:cs="Times New Roman"/>
          <w:color w:val="000000" w:themeColor="text1"/>
          <w:sz w:val="24"/>
          <w:szCs w:val="24"/>
        </w:rPr>
        <w:lastRenderedPageBreak/>
        <w:t>net income for a specific period. Using current value to offer the receipt of a company is significant as it ensures that short-term activities are evaluated based on the revenue generated within a year.</w:t>
      </w:r>
    </w:p>
    <w:p w:rsidR="00AC423B" w:rsidRPr="00A030B1" w:rsidRDefault="00E25F69" w:rsidP="00A030B1">
      <w:pPr>
        <w:spacing w:after="0" w:line="480" w:lineRule="auto"/>
        <w:ind w:firstLine="851"/>
        <w:jc w:val="center"/>
        <w:rPr>
          <w:rFonts w:ascii="Times New Roman" w:hAnsi="Times New Roman" w:cs="Times New Roman"/>
          <w:b/>
          <w:bCs/>
          <w:color w:val="000000" w:themeColor="text1"/>
          <w:sz w:val="24"/>
          <w:szCs w:val="24"/>
        </w:rPr>
      </w:pPr>
      <w:r w:rsidRPr="00A030B1">
        <w:rPr>
          <w:rFonts w:ascii="Times New Roman" w:hAnsi="Times New Roman" w:cs="Times New Roman"/>
          <w:b/>
          <w:bCs/>
          <w:color w:val="000000" w:themeColor="text1"/>
          <w:sz w:val="24"/>
          <w:szCs w:val="24"/>
        </w:rPr>
        <w:t>Conclusion</w:t>
      </w:r>
    </w:p>
    <w:p w:rsidR="00AC423B" w:rsidRPr="00A030B1" w:rsidRDefault="00E25F69" w:rsidP="00A030B1">
      <w:pPr>
        <w:spacing w:after="0" w:line="480" w:lineRule="auto"/>
        <w:ind w:firstLine="851"/>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t>The management of investment securities is significant in enhancing the performance of companies. FASB ASC 320 states that establishments have to assign a portfolio of the investment securities to their trading securities. The categories of investment securities that exist include equity, debt, and derivatives securities. All three securities have to be balanced and managed using current and non-current values to ensure the company's short-term and long-term success. However, the current value is acknowledged as beneficial in enhancing corporate performance and earnings management.</w:t>
      </w: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A030B1" w:rsidRDefault="00A030B1" w:rsidP="00A030B1">
      <w:pPr>
        <w:spacing w:after="0" w:line="480" w:lineRule="auto"/>
        <w:ind w:firstLine="851"/>
        <w:rPr>
          <w:rFonts w:ascii="Times New Roman" w:hAnsi="Times New Roman" w:cs="Times New Roman"/>
          <w:color w:val="000000" w:themeColor="text1"/>
          <w:sz w:val="24"/>
          <w:szCs w:val="24"/>
        </w:rPr>
      </w:pPr>
    </w:p>
    <w:p w:rsidR="00DB0650" w:rsidRDefault="00DB0650" w:rsidP="00A030B1">
      <w:pPr>
        <w:spacing w:after="0" w:line="480" w:lineRule="auto"/>
        <w:ind w:firstLine="851"/>
        <w:rPr>
          <w:rFonts w:ascii="Times New Roman" w:hAnsi="Times New Roman" w:cs="Times New Roman"/>
          <w:color w:val="000000" w:themeColor="text1"/>
          <w:sz w:val="24"/>
          <w:szCs w:val="24"/>
        </w:rPr>
      </w:pPr>
    </w:p>
    <w:p w:rsidR="00DB0650" w:rsidRDefault="00DB0650" w:rsidP="00A030B1">
      <w:pPr>
        <w:spacing w:after="0" w:line="480" w:lineRule="auto"/>
        <w:ind w:firstLine="851"/>
        <w:rPr>
          <w:rFonts w:ascii="Times New Roman" w:hAnsi="Times New Roman" w:cs="Times New Roman"/>
          <w:color w:val="000000" w:themeColor="text1"/>
          <w:sz w:val="24"/>
          <w:szCs w:val="24"/>
        </w:rPr>
      </w:pPr>
    </w:p>
    <w:p w:rsidR="00DB0650" w:rsidRDefault="00DB0650" w:rsidP="00A030B1">
      <w:pPr>
        <w:spacing w:after="0" w:line="480" w:lineRule="auto"/>
        <w:ind w:firstLine="851"/>
        <w:rPr>
          <w:rFonts w:ascii="Times New Roman" w:hAnsi="Times New Roman" w:cs="Times New Roman"/>
          <w:color w:val="000000" w:themeColor="text1"/>
          <w:sz w:val="24"/>
          <w:szCs w:val="24"/>
        </w:rPr>
      </w:pPr>
    </w:p>
    <w:p w:rsidR="00DB0650" w:rsidRDefault="00DB0650" w:rsidP="00A030B1">
      <w:pPr>
        <w:spacing w:after="0" w:line="480" w:lineRule="auto"/>
        <w:ind w:firstLine="851"/>
        <w:rPr>
          <w:rFonts w:ascii="Times New Roman" w:hAnsi="Times New Roman" w:cs="Times New Roman"/>
          <w:color w:val="000000" w:themeColor="text1"/>
          <w:sz w:val="24"/>
          <w:szCs w:val="24"/>
        </w:rPr>
      </w:pPr>
    </w:p>
    <w:p w:rsidR="00DB0650" w:rsidRDefault="00DB0650" w:rsidP="00A030B1">
      <w:pPr>
        <w:spacing w:after="0" w:line="480" w:lineRule="auto"/>
        <w:ind w:firstLine="851"/>
        <w:rPr>
          <w:rFonts w:ascii="Times New Roman" w:hAnsi="Times New Roman" w:cs="Times New Roman"/>
          <w:color w:val="000000" w:themeColor="text1"/>
          <w:sz w:val="24"/>
          <w:szCs w:val="24"/>
        </w:rPr>
      </w:pPr>
    </w:p>
    <w:p w:rsidR="00AC423B" w:rsidRPr="00A030B1" w:rsidRDefault="00E25F69" w:rsidP="00A030B1">
      <w:pPr>
        <w:spacing w:after="0" w:line="480" w:lineRule="auto"/>
        <w:ind w:firstLine="851"/>
        <w:jc w:val="center"/>
        <w:rPr>
          <w:rFonts w:ascii="Times New Roman" w:hAnsi="Times New Roman" w:cs="Times New Roman"/>
          <w:color w:val="000000" w:themeColor="text1"/>
          <w:sz w:val="24"/>
          <w:szCs w:val="24"/>
        </w:rPr>
      </w:pPr>
      <w:r w:rsidRPr="00A030B1">
        <w:rPr>
          <w:rFonts w:ascii="Times New Roman" w:hAnsi="Times New Roman" w:cs="Times New Roman"/>
          <w:color w:val="000000" w:themeColor="text1"/>
          <w:sz w:val="24"/>
          <w:szCs w:val="24"/>
        </w:rPr>
        <w:lastRenderedPageBreak/>
        <w:t>References</w:t>
      </w:r>
    </w:p>
    <w:p w:rsidR="00A030B1" w:rsidRPr="00A030B1" w:rsidRDefault="00E25F69" w:rsidP="00A030B1">
      <w:pPr>
        <w:spacing w:after="0" w:line="480" w:lineRule="auto"/>
        <w:ind w:left="851" w:hanging="851"/>
        <w:rPr>
          <w:rFonts w:ascii="Times New Roman" w:hAnsi="Times New Roman" w:cs="Times New Roman"/>
          <w:color w:val="000000" w:themeColor="text1"/>
          <w:sz w:val="24"/>
          <w:szCs w:val="24"/>
          <w:shd w:val="clear" w:color="auto" w:fill="FFFFFF"/>
        </w:rPr>
      </w:pPr>
      <w:r w:rsidRPr="00A030B1">
        <w:rPr>
          <w:rFonts w:ascii="Times New Roman" w:hAnsi="Times New Roman" w:cs="Times New Roman"/>
          <w:color w:val="000000" w:themeColor="text1"/>
          <w:sz w:val="24"/>
          <w:szCs w:val="24"/>
          <w:shd w:val="clear" w:color="auto" w:fill="FFFFFF"/>
        </w:rPr>
        <w:t>Bonelli, M., &amp; Bossy, M. (2017). Portfolio Management with Drawdown Constraint: An Analysis of Optimal Investment. </w:t>
      </w:r>
      <w:r w:rsidRPr="00A030B1">
        <w:rPr>
          <w:rFonts w:ascii="Times New Roman" w:hAnsi="Times New Roman" w:cs="Times New Roman"/>
          <w:i/>
          <w:iCs/>
          <w:color w:val="000000" w:themeColor="text1"/>
          <w:sz w:val="24"/>
          <w:szCs w:val="24"/>
          <w:shd w:val="clear" w:color="auto" w:fill="FFFFFF"/>
        </w:rPr>
        <w:t>SSRN Electronic Journal</w:t>
      </w:r>
      <w:r w:rsidRPr="00A030B1">
        <w:rPr>
          <w:rFonts w:ascii="Times New Roman" w:hAnsi="Times New Roman" w:cs="Times New Roman"/>
          <w:color w:val="000000" w:themeColor="text1"/>
          <w:sz w:val="24"/>
          <w:szCs w:val="24"/>
          <w:shd w:val="clear" w:color="auto" w:fill="FFFFFF"/>
        </w:rPr>
        <w:t>. doi: 10.2139/ssrn.2959955</w:t>
      </w:r>
    </w:p>
    <w:p w:rsidR="00A030B1" w:rsidRPr="00A030B1" w:rsidRDefault="00E25F69" w:rsidP="00A030B1">
      <w:pPr>
        <w:spacing w:after="0" w:line="480" w:lineRule="auto"/>
        <w:ind w:left="851" w:hanging="851"/>
        <w:rPr>
          <w:rFonts w:ascii="Times New Roman" w:hAnsi="Times New Roman" w:cs="Times New Roman"/>
          <w:color w:val="000000" w:themeColor="text1"/>
          <w:sz w:val="24"/>
          <w:szCs w:val="24"/>
          <w:shd w:val="clear" w:color="auto" w:fill="FFFFFF"/>
        </w:rPr>
      </w:pPr>
      <w:r w:rsidRPr="00A030B1">
        <w:rPr>
          <w:rFonts w:ascii="Times New Roman" w:hAnsi="Times New Roman" w:cs="Times New Roman"/>
          <w:color w:val="000000" w:themeColor="text1"/>
          <w:sz w:val="24"/>
          <w:szCs w:val="24"/>
          <w:shd w:val="clear" w:color="auto" w:fill="FFFFFF"/>
        </w:rPr>
        <w:t>Brown, C. (2013). Marketable Securities: Storage or Investment? </w:t>
      </w:r>
      <w:r w:rsidRPr="00A030B1">
        <w:rPr>
          <w:rFonts w:ascii="Times New Roman" w:hAnsi="Times New Roman" w:cs="Times New Roman"/>
          <w:i/>
          <w:iCs/>
          <w:color w:val="000000" w:themeColor="text1"/>
          <w:sz w:val="24"/>
          <w:szCs w:val="24"/>
          <w:shd w:val="clear" w:color="auto" w:fill="FFFFFF"/>
        </w:rPr>
        <w:t>SSRN Electronic Journal</w:t>
      </w:r>
      <w:r w:rsidRPr="00A030B1">
        <w:rPr>
          <w:rFonts w:ascii="Times New Roman" w:hAnsi="Times New Roman" w:cs="Times New Roman"/>
          <w:color w:val="000000" w:themeColor="text1"/>
          <w:sz w:val="24"/>
          <w:szCs w:val="24"/>
          <w:shd w:val="clear" w:color="auto" w:fill="FFFFFF"/>
        </w:rPr>
        <w:t>. doi: 10.2139/ssrn.2347950</w:t>
      </w:r>
    </w:p>
    <w:p w:rsidR="00A030B1" w:rsidRPr="00A030B1" w:rsidRDefault="00E25F69" w:rsidP="00A030B1">
      <w:pPr>
        <w:spacing w:after="0" w:line="480" w:lineRule="auto"/>
        <w:ind w:left="851" w:hanging="851"/>
        <w:rPr>
          <w:rFonts w:ascii="Times New Roman" w:hAnsi="Times New Roman" w:cs="Times New Roman"/>
          <w:color w:val="000000" w:themeColor="text1"/>
          <w:sz w:val="24"/>
          <w:szCs w:val="24"/>
          <w:shd w:val="clear" w:color="auto" w:fill="FFFFFF"/>
        </w:rPr>
      </w:pPr>
      <w:r w:rsidRPr="00A030B1">
        <w:rPr>
          <w:rFonts w:ascii="Times New Roman" w:hAnsi="Times New Roman" w:cs="Times New Roman"/>
          <w:color w:val="000000" w:themeColor="text1"/>
          <w:sz w:val="24"/>
          <w:szCs w:val="24"/>
          <w:shd w:val="clear" w:color="auto" w:fill="FFFFFF"/>
        </w:rPr>
        <w:t xml:space="preserve">Plastun, A., Makarenko, I., Yelnikova, Y., &amp; Bychenko, D. (2019). Optimal investment portfolio selection from the largest Ukrainian companies: a comparative study of conventional and responsible portfolios. </w:t>
      </w:r>
      <w:r w:rsidRPr="00A030B1">
        <w:rPr>
          <w:rFonts w:ascii="Times New Roman" w:hAnsi="Times New Roman" w:cs="Times New Roman"/>
          <w:i/>
          <w:iCs/>
          <w:color w:val="000000" w:themeColor="text1"/>
          <w:sz w:val="24"/>
          <w:szCs w:val="24"/>
          <w:shd w:val="clear" w:color="auto" w:fill="FFFFFF"/>
        </w:rPr>
        <w:t>Public and Municipal Finance</w:t>
      </w:r>
      <w:r w:rsidRPr="00A030B1">
        <w:rPr>
          <w:rFonts w:ascii="Times New Roman" w:hAnsi="Times New Roman" w:cs="Times New Roman"/>
          <w:color w:val="000000" w:themeColor="text1"/>
          <w:sz w:val="24"/>
          <w:szCs w:val="24"/>
          <w:shd w:val="clear" w:color="auto" w:fill="FFFFFF"/>
        </w:rPr>
        <w:t>, </w:t>
      </w:r>
      <w:r w:rsidRPr="00A030B1">
        <w:rPr>
          <w:rFonts w:ascii="Times New Roman" w:hAnsi="Times New Roman" w:cs="Times New Roman"/>
          <w:i/>
          <w:iCs/>
          <w:color w:val="000000" w:themeColor="text1"/>
          <w:sz w:val="24"/>
          <w:szCs w:val="24"/>
          <w:shd w:val="clear" w:color="auto" w:fill="FFFFFF"/>
        </w:rPr>
        <w:t>8</w:t>
      </w:r>
      <w:r w:rsidRPr="00A030B1">
        <w:rPr>
          <w:rFonts w:ascii="Times New Roman" w:hAnsi="Times New Roman" w:cs="Times New Roman"/>
          <w:color w:val="000000" w:themeColor="text1"/>
          <w:sz w:val="24"/>
          <w:szCs w:val="24"/>
          <w:shd w:val="clear" w:color="auto" w:fill="FFFFFF"/>
        </w:rPr>
        <w:t>(1), 44-53. doi: 10.21511/pmf.08(1).2019.04</w:t>
      </w:r>
    </w:p>
    <w:p w:rsidR="00A030B1" w:rsidRPr="00A030B1" w:rsidRDefault="00E25F69" w:rsidP="00A030B1">
      <w:pPr>
        <w:spacing w:after="0" w:line="480" w:lineRule="auto"/>
        <w:ind w:left="851" w:hanging="851"/>
        <w:rPr>
          <w:rFonts w:ascii="Times New Roman" w:hAnsi="Times New Roman" w:cs="Times New Roman"/>
          <w:color w:val="000000" w:themeColor="text1"/>
          <w:sz w:val="24"/>
          <w:szCs w:val="24"/>
          <w:shd w:val="clear" w:color="auto" w:fill="FFFFFF"/>
        </w:rPr>
      </w:pPr>
      <w:r w:rsidRPr="00A030B1">
        <w:rPr>
          <w:rFonts w:ascii="Times New Roman" w:hAnsi="Times New Roman" w:cs="Times New Roman"/>
          <w:color w:val="000000" w:themeColor="text1"/>
          <w:sz w:val="24"/>
          <w:szCs w:val="24"/>
          <w:shd w:val="clear" w:color="auto" w:fill="FFFFFF"/>
        </w:rPr>
        <w:t>Voneiff, C., &amp; Evangelista, T. (2011). Pricing and Valuation of Registered Investment Company Portfolio Securities. </w:t>
      </w:r>
      <w:r w:rsidRPr="00A030B1">
        <w:rPr>
          <w:rFonts w:ascii="Times New Roman" w:hAnsi="Times New Roman" w:cs="Times New Roman"/>
          <w:i/>
          <w:iCs/>
          <w:color w:val="000000" w:themeColor="text1"/>
          <w:sz w:val="24"/>
          <w:szCs w:val="24"/>
          <w:shd w:val="clear" w:color="auto" w:fill="FFFFFF"/>
        </w:rPr>
        <w:t>Journal of Investment Compliance</w:t>
      </w:r>
      <w:r w:rsidRPr="00A030B1">
        <w:rPr>
          <w:rFonts w:ascii="Times New Roman" w:hAnsi="Times New Roman" w:cs="Times New Roman"/>
          <w:color w:val="000000" w:themeColor="text1"/>
          <w:sz w:val="24"/>
          <w:szCs w:val="24"/>
          <w:shd w:val="clear" w:color="auto" w:fill="FFFFFF"/>
        </w:rPr>
        <w:t>, </w:t>
      </w:r>
      <w:r w:rsidRPr="00A030B1">
        <w:rPr>
          <w:rFonts w:ascii="Times New Roman" w:hAnsi="Times New Roman" w:cs="Times New Roman"/>
          <w:i/>
          <w:iCs/>
          <w:color w:val="000000" w:themeColor="text1"/>
          <w:sz w:val="24"/>
          <w:szCs w:val="24"/>
          <w:shd w:val="clear" w:color="auto" w:fill="FFFFFF"/>
        </w:rPr>
        <w:t>1</w:t>
      </w:r>
      <w:r w:rsidRPr="00A030B1">
        <w:rPr>
          <w:rFonts w:ascii="Times New Roman" w:hAnsi="Times New Roman" w:cs="Times New Roman"/>
          <w:color w:val="000000" w:themeColor="text1"/>
          <w:sz w:val="24"/>
          <w:szCs w:val="24"/>
          <w:shd w:val="clear" w:color="auto" w:fill="FFFFFF"/>
        </w:rPr>
        <w:t>(4), 37-41. doi: 10.1108/eb045891</w:t>
      </w:r>
    </w:p>
    <w:p w:rsidR="00AC423B" w:rsidRPr="00A030B1" w:rsidRDefault="00AC423B" w:rsidP="00A030B1">
      <w:pPr>
        <w:spacing w:after="0" w:line="480" w:lineRule="auto"/>
        <w:ind w:firstLine="851"/>
        <w:rPr>
          <w:rFonts w:ascii="Times New Roman" w:hAnsi="Times New Roman" w:cs="Times New Roman"/>
          <w:color w:val="000000" w:themeColor="text1"/>
          <w:sz w:val="24"/>
          <w:szCs w:val="24"/>
        </w:rPr>
      </w:pPr>
    </w:p>
    <w:sectPr w:rsidR="00AC423B" w:rsidRPr="00A030B1" w:rsidSect="00A030B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7239" w:rsidRDefault="00D87239">
      <w:pPr>
        <w:spacing w:after="0" w:line="240" w:lineRule="auto"/>
      </w:pPr>
      <w:r>
        <w:separator/>
      </w:r>
    </w:p>
  </w:endnote>
  <w:endnote w:type="continuationSeparator" w:id="1">
    <w:p w:rsidR="00D87239" w:rsidRDefault="00D872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7239" w:rsidRDefault="00D87239">
      <w:pPr>
        <w:spacing w:after="0" w:line="240" w:lineRule="auto"/>
      </w:pPr>
      <w:r>
        <w:separator/>
      </w:r>
    </w:p>
  </w:footnote>
  <w:footnote w:type="continuationSeparator" w:id="1">
    <w:p w:rsidR="00D87239" w:rsidRDefault="00D872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B1" w:rsidRPr="00A030B1" w:rsidRDefault="00E25F69" w:rsidP="00A030B1">
    <w:pPr>
      <w:pStyle w:val="Header"/>
      <w:rPr>
        <w:rFonts w:ascii="Times New Roman" w:hAnsi="Times New Roman" w:cs="Times New Roman"/>
        <w:sz w:val="24"/>
        <w:szCs w:val="24"/>
      </w:rPr>
    </w:pPr>
    <w:r w:rsidRPr="00A030B1">
      <w:rPr>
        <w:rFonts w:ascii="Times New Roman" w:hAnsi="Times New Roman" w:cs="Times New Roman"/>
        <w:sz w:val="24"/>
        <w:szCs w:val="24"/>
      </w:rPr>
      <w:t>INVESTMENT SECURITIES</w:t>
    </w:r>
    <w:r w:rsidR="000E4D7C">
      <w:rPr>
        <w:rFonts w:ascii="Times New Roman" w:hAnsi="Times New Roman" w:cs="Times New Roman"/>
        <w:sz w:val="24"/>
        <w:szCs w:val="24"/>
      </w:rPr>
      <w:t xml:space="preserve">                                                                                                  </w:t>
    </w:r>
    <w:sdt>
      <w:sdtPr>
        <w:rPr>
          <w:rFonts w:ascii="Times New Roman" w:hAnsi="Times New Roman" w:cs="Times New Roman"/>
          <w:sz w:val="24"/>
          <w:szCs w:val="24"/>
        </w:rPr>
        <w:id w:val="-1351107152"/>
        <w:docPartObj>
          <w:docPartGallery w:val="Page Numbers (Top of Page)"/>
          <w:docPartUnique/>
        </w:docPartObj>
      </w:sdtPr>
      <w:sdtEndPr>
        <w:rPr>
          <w:noProof/>
        </w:rPr>
      </w:sdtEndPr>
      <w:sdtContent>
        <w:r w:rsidR="00A775AD" w:rsidRPr="00A030B1">
          <w:rPr>
            <w:rFonts w:ascii="Times New Roman" w:hAnsi="Times New Roman" w:cs="Times New Roman"/>
            <w:sz w:val="24"/>
            <w:szCs w:val="24"/>
          </w:rPr>
          <w:fldChar w:fldCharType="begin"/>
        </w:r>
        <w:r w:rsidRPr="00A030B1">
          <w:rPr>
            <w:rFonts w:ascii="Times New Roman" w:hAnsi="Times New Roman" w:cs="Times New Roman"/>
            <w:sz w:val="24"/>
            <w:szCs w:val="24"/>
          </w:rPr>
          <w:instrText xml:space="preserve"> PAGE   \* MERGEFORMAT </w:instrText>
        </w:r>
        <w:r w:rsidR="00A775AD" w:rsidRPr="00A030B1">
          <w:rPr>
            <w:rFonts w:ascii="Times New Roman" w:hAnsi="Times New Roman" w:cs="Times New Roman"/>
            <w:sz w:val="24"/>
            <w:szCs w:val="24"/>
          </w:rPr>
          <w:fldChar w:fldCharType="separate"/>
        </w:r>
        <w:r w:rsidR="006E03F5">
          <w:rPr>
            <w:rFonts w:ascii="Times New Roman" w:hAnsi="Times New Roman" w:cs="Times New Roman"/>
            <w:noProof/>
            <w:sz w:val="24"/>
            <w:szCs w:val="24"/>
          </w:rPr>
          <w:t>7</w:t>
        </w:r>
        <w:r w:rsidR="00A775AD" w:rsidRPr="00A030B1">
          <w:rPr>
            <w:rFonts w:ascii="Times New Roman" w:hAnsi="Times New Roman" w:cs="Times New Roman"/>
            <w:noProof/>
            <w:sz w:val="24"/>
            <w:szCs w:val="24"/>
          </w:rPr>
          <w:fldChar w:fldCharType="end"/>
        </w:r>
      </w:sdtContent>
    </w:sdt>
  </w:p>
  <w:p w:rsidR="00A030B1" w:rsidRDefault="00A030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B1" w:rsidRPr="00A030B1" w:rsidRDefault="00E25F69" w:rsidP="00A030B1">
    <w:pPr>
      <w:pStyle w:val="Header"/>
      <w:rPr>
        <w:rFonts w:ascii="Times New Roman" w:hAnsi="Times New Roman" w:cs="Times New Roman"/>
        <w:sz w:val="24"/>
        <w:szCs w:val="24"/>
      </w:rPr>
    </w:pPr>
    <w:r w:rsidRPr="00A030B1">
      <w:rPr>
        <w:rFonts w:ascii="Times New Roman" w:hAnsi="Times New Roman" w:cs="Times New Roman"/>
        <w:sz w:val="24"/>
        <w:szCs w:val="24"/>
      </w:rPr>
      <w:t>Running head: INVESTMENT SECURITIES</w:t>
    </w:r>
    <w:sdt>
      <w:sdtPr>
        <w:rPr>
          <w:rFonts w:ascii="Times New Roman" w:hAnsi="Times New Roman" w:cs="Times New Roman"/>
          <w:sz w:val="24"/>
          <w:szCs w:val="24"/>
        </w:rPr>
        <w:id w:val="-1453084824"/>
        <w:docPartObj>
          <w:docPartGallery w:val="Page Numbers (Top of Page)"/>
          <w:docPartUnique/>
        </w:docPartObj>
      </w:sdtPr>
      <w:sdtEndPr>
        <w:rPr>
          <w:noProof/>
        </w:rPr>
      </w:sdtEndPr>
      <w:sdtContent>
        <w:r w:rsidR="000E4D7C">
          <w:rPr>
            <w:rFonts w:ascii="Times New Roman" w:hAnsi="Times New Roman" w:cs="Times New Roman"/>
            <w:sz w:val="24"/>
            <w:szCs w:val="24"/>
          </w:rPr>
          <w:t xml:space="preserve">                                                                         </w:t>
        </w:r>
        <w:r w:rsidR="00A775AD" w:rsidRPr="00A030B1">
          <w:rPr>
            <w:rFonts w:ascii="Times New Roman" w:hAnsi="Times New Roman" w:cs="Times New Roman"/>
            <w:sz w:val="24"/>
            <w:szCs w:val="24"/>
          </w:rPr>
          <w:fldChar w:fldCharType="begin"/>
        </w:r>
        <w:r w:rsidRPr="00A030B1">
          <w:rPr>
            <w:rFonts w:ascii="Times New Roman" w:hAnsi="Times New Roman" w:cs="Times New Roman"/>
            <w:sz w:val="24"/>
            <w:szCs w:val="24"/>
          </w:rPr>
          <w:instrText xml:space="preserve"> PAGE   \* MERGEFORMAT </w:instrText>
        </w:r>
        <w:r w:rsidR="00A775AD" w:rsidRPr="00A030B1">
          <w:rPr>
            <w:rFonts w:ascii="Times New Roman" w:hAnsi="Times New Roman" w:cs="Times New Roman"/>
            <w:sz w:val="24"/>
            <w:szCs w:val="24"/>
          </w:rPr>
          <w:fldChar w:fldCharType="separate"/>
        </w:r>
        <w:r w:rsidR="006E03F5">
          <w:rPr>
            <w:rFonts w:ascii="Times New Roman" w:hAnsi="Times New Roman" w:cs="Times New Roman"/>
            <w:noProof/>
            <w:sz w:val="24"/>
            <w:szCs w:val="24"/>
          </w:rPr>
          <w:t>1</w:t>
        </w:r>
        <w:r w:rsidR="00A775AD" w:rsidRPr="00A030B1">
          <w:rPr>
            <w:rFonts w:ascii="Times New Roman" w:hAnsi="Times New Roman" w:cs="Times New Roman"/>
            <w:noProof/>
            <w:sz w:val="24"/>
            <w:szCs w:val="24"/>
          </w:rPr>
          <w:fldChar w:fldCharType="end"/>
        </w:r>
      </w:sdtContent>
    </w:sdt>
  </w:p>
  <w:p w:rsidR="00A030B1" w:rsidRDefault="00A030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M0tjQ1tzQ3MjExMzZR0lEKTi0uzszPAykwqgUAnhVRSSwAAAA="/>
  </w:docVars>
  <w:rsids>
    <w:rsidRoot w:val="00187F43"/>
    <w:rsid w:val="00085514"/>
    <w:rsid w:val="000E4D7C"/>
    <w:rsid w:val="0010314A"/>
    <w:rsid w:val="00187F43"/>
    <w:rsid w:val="003F62A4"/>
    <w:rsid w:val="00471E6B"/>
    <w:rsid w:val="00471ED2"/>
    <w:rsid w:val="004C253C"/>
    <w:rsid w:val="00513D10"/>
    <w:rsid w:val="00676A53"/>
    <w:rsid w:val="006A56E6"/>
    <w:rsid w:val="006E03F5"/>
    <w:rsid w:val="00895A57"/>
    <w:rsid w:val="00A030B1"/>
    <w:rsid w:val="00A775AD"/>
    <w:rsid w:val="00AB1A67"/>
    <w:rsid w:val="00AC423B"/>
    <w:rsid w:val="00B80400"/>
    <w:rsid w:val="00CE442B"/>
    <w:rsid w:val="00D87239"/>
    <w:rsid w:val="00DB0650"/>
    <w:rsid w:val="00DB47F8"/>
    <w:rsid w:val="00E12C0C"/>
    <w:rsid w:val="00E25F69"/>
    <w:rsid w:val="00F05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0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0B1"/>
  </w:style>
  <w:style w:type="paragraph" w:styleId="Footer">
    <w:name w:val="footer"/>
    <w:basedOn w:val="Normal"/>
    <w:link w:val="FooterChar"/>
    <w:uiPriority w:val="99"/>
    <w:unhideWhenUsed/>
    <w:rsid w:val="00A030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0B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2020-06-18T12:52:00Z</dcterms:created>
  <dcterms:modified xsi:type="dcterms:W3CDTF">2020-06-18T12:52:00Z</dcterms:modified>
</cp:coreProperties>
</file>